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E6" w:rsidRDefault="000034E6" w:rsidP="000034E6">
      <w:pPr>
        <w:jc w:val="center"/>
        <w:rPr>
          <w:rFonts w:ascii="黑体" w:eastAsia="黑体" w:hAnsi="黑体"/>
          <w:sz w:val="36"/>
          <w:szCs w:val="36"/>
        </w:rPr>
      </w:pPr>
      <w:r w:rsidRPr="000034E6">
        <w:rPr>
          <w:rFonts w:ascii="黑体" w:eastAsia="黑体" w:hAnsi="黑体" w:hint="eastAsia"/>
          <w:sz w:val="36"/>
          <w:szCs w:val="36"/>
        </w:rPr>
        <w:t>财政部就《关于进一步完善中央财政科研项目资金管理等政策的若干意见》答问</w:t>
      </w:r>
    </w:p>
    <w:p w:rsidR="000034E6" w:rsidRDefault="000034E6" w:rsidP="000034E6">
      <w:pPr>
        <w:jc w:val="center"/>
        <w:rPr>
          <w:rFonts w:ascii="黑体" w:eastAsia="黑体" w:hAnsi="黑体"/>
          <w:sz w:val="36"/>
          <w:szCs w:val="36"/>
        </w:rPr>
      </w:pP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一、《意见》出台的背景是什么？重要意义是什么？</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创新是引领发展的第一动力，科技创新在全面创新中具有引领作用。党中央、国务院高度重视科技创新。党的十八大</w:t>
      </w:r>
      <w:proofErr w:type="gramStart"/>
      <w:r>
        <w:rPr>
          <w:rFonts w:hint="eastAsia"/>
          <w:color w:val="333333"/>
        </w:rPr>
        <w:t>作出</w:t>
      </w:r>
      <w:proofErr w:type="gramEnd"/>
      <w:r>
        <w:rPr>
          <w:rFonts w:hint="eastAsia"/>
          <w:color w:val="333333"/>
        </w:rPr>
        <w:t>了实施创新驱动发展战略的决策部署。党的十八届五中全会强调创新是引领发展的第一动力，必须摆在国家发展全局的核心位置。今年5月，党中央、国务院召开了全国科技创新大会，吹响了建设世界科技强国的号角。</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财政作为国家治理的基础和重要支柱，近年来，按照中央部署要求，积极发挥职能作用，大力支持以科技创新为核心的全面创新。一方面，加大财政科技投入，为科技创新提供有力保障。另一方面，始终坚持问题导向，致力于建立</w:t>
      </w:r>
      <w:proofErr w:type="gramStart"/>
      <w:r>
        <w:rPr>
          <w:rFonts w:hint="eastAsia"/>
          <w:color w:val="333333"/>
        </w:rPr>
        <w:t>健全既</w:t>
      </w:r>
      <w:proofErr w:type="gramEnd"/>
      <w:r>
        <w:rPr>
          <w:rFonts w:hint="eastAsia"/>
          <w:color w:val="333333"/>
        </w:rPr>
        <w:t>遵循科研活动规律，又符合依法理财要求的科技资金管理机制。比如，在深化科研项目资金管理改革方面，会同科技部研究制定了《关于调整国家科技计划和公益性行业科研专项经费管理办法若干规定的通知》（</w:t>
      </w:r>
      <w:proofErr w:type="gramStart"/>
      <w:r>
        <w:rPr>
          <w:rFonts w:hint="eastAsia"/>
          <w:color w:val="333333"/>
        </w:rPr>
        <w:t>财教〔2011〕</w:t>
      </w:r>
      <w:proofErr w:type="gramEnd"/>
      <w:r>
        <w:rPr>
          <w:rFonts w:hint="eastAsia"/>
          <w:color w:val="333333"/>
        </w:rPr>
        <w:t>434号），报请国务院印发了《关于改进加强中央财政科研项目和资金管理的若干意见》（国发〔2014〕11号），提出了一系列管理改革措施，努力以管理改革释放创新活力。</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尽管如此，仍有一些高校、院所和科研人员改革获得感不够强，反映科研项目资金存在“过细过死”、“重物轻人”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为贯彻落实中央关于深化改革创新、形成充满活力的科技管理和运行机制的要求，按照《中共中央 国务院关于深化体制机制改革加快实施创新驱动发展战略的若干意见》和国发〔2014〕11号文件有关要求，经党中央、国务院同意，中办、国办联合印发了《意见》。《意见》旨在通过进一步简政放权、放管结合、</w:t>
      </w:r>
      <w:r>
        <w:rPr>
          <w:rFonts w:hint="eastAsia"/>
          <w:color w:val="333333"/>
        </w:rPr>
        <w:lastRenderedPageBreak/>
        <w:t>优化服务、强化落实，改革和创新科研经费使用和管理方式，促进形成充满活力的科技管理和运行机制，更好地激发广大科研人员积极性和创造性。</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放管服”结合，通过改革和创新科研经费使用和管理方式，更好地适应科研活动规律和特点，有利于进一步提升财政科技资金使用效益。</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二、这次进一步完善中央财政科研项目资金管理等政策，坚持什么原则？</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聚焦高校、科研院所和科研人员关心的突出问题，遵循“四个坚持”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堵点”，增强科研人员改革的成就感和获得感。</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三、《意见》在扩大高校和科研院所管理权限方面有哪些“亮点”？</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四、《意见》在改进科研项目资金管理、激发科研人员创新创造活力方面提出了哪些措施？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科研项目资金分为直接费用和间接费用，直接费用一般包括设备费、差旅费、会议费、国际合作与交流费、劳务费等10类左右的支出科目;间接费用主要用于项目承担单位的成本耗费和对科研人员的绩效激励。这次《意见》提出的各项措施，从经费比重、开支范围、科目设置等方面提出了一系列“松绑+激励”的措施，有利于激发科研人员创新创造活力。</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一是简化预算编制科目，下放调剂权限。合并“同类项”，将直接费用中会议费、差旅费、国际合作与交流费合并为一个科目，合并后的总费用如果不超过直接费用的10%，就不用提供预算测算依据，科研人员在编制这部分预算时不用再具体说明开几次会、出几次差了。下放科研项目预算调剂权，在项目总预算不变的情况下，直接费用中的多数科目预算都可以由项目承担单位自主调剂,“打酱油的钱可以买醋”。</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二是提高间接费用比重，加大绩效激励力度。间接费用占直接费用扣除设备购置费的比例上限，从20%/13%/10%提高到20%/15%/13%（上述比例分别对应500万元以下、500-1000万元、1000万元以上部分）。项目承担单位可以在核定的间接费用比例范围内统筹安排绩效支出，并与科研人员在项目工作中的实际贡献挂钩，以加大对科研人员激励力度。</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四是改进结转结余资金留用处理方式。科研项目实施期间，年度剩余资金可以结转下年继续使用，当年的钱花不完不用收回。项目完成任务目标并通过验收后，结余资金按规定留归单位使用，在2年内可以统筹安排用于科研活动的直接支出；2年后未使用完的，按规定收回。</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五是自主规范管理横向经费。以市场委托方式取得的横向经费，由单位按照委托方要求或合同约定管理使用，有效解决一些科研人员反映的横向经费“纵向</w:t>
      </w:r>
      <w:r>
        <w:rPr>
          <w:rFonts w:hint="eastAsia"/>
          <w:color w:val="333333"/>
        </w:rPr>
        <w:lastRenderedPageBreak/>
        <w:t>化”管理问题。同时，为了防止设“账外账”，强调横向经费要纳入单位财务统一管理。</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五、我国科研项目间接费用与美国等国家相比比例偏低，是何原因？《意见》对此提出了哪些改进措施?中央财政科研项目中的哪些项目可以设立间接费用？间接费用如何核定？</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20%/13%/10%提高到20%/15%/13%（上述比例分别对应500万元以下、500-1000万元、1000万元以上部分）。需要说明的是，对于稳定支持的科研项目，相关费用已通过部门预算渠道安排，不存在对其进行额外补偿的问题，不需要列支间接费用。</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六、一些科研人员反映，相对我国而言，美国等国家科研项目中“人员费”比例较高，《意见》在这方面提出了哪些改进措施？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中美两国科研人员经费保障体制不尽相同。美国研究型大学对于科研人员每年发放9-10个月的工资，其余2—3个月的工资通过科研项目经费列支，但科研人员从大学领取的工资加上从科研项目经费中领取的薪酬不能超过其12个月工资总和。我国高校、院所对在编在职科研人员每年发放12个月工资，在基本支出中列支，给予稳定保障，而不是只拨付9个月的工资。</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美国科研项目资金预算中既包含研究生薪酬，又包含研究生学费减免等。对这部分支出，我国单独安排了研究生生均拨款、奖助学金、博士后日常经费、博士后科学基金等。</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综上，我国科研项目经费中“人员费”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5%），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七、有的科研人员反映目前我国科研项目预算编制过细，《意见》在预算编制方面简化了哪些科目？</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科研项目编制预算是国际通行做法。科研活动具有灵感瞬间性、方式随意性、路径不确定性等特点，但主要技术路线、大体的工作量应事先心中有数，否则就成了“无的放矢”。鉴于科研活动自身规律及其不确定性，目前我国科研项目预算编制遵循适中原则，不像工程预算那样的“事无巨细”。</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科研人员反映的预算编制过细问题，既有进一步完善预算编制方法的问题，也有执行不到位的问题。比如，如何帮助科研人员更好地编制预算；如何完善预算评审方式，防止评审环节随意设门槛，倒</w:t>
      </w:r>
      <w:proofErr w:type="gramStart"/>
      <w:r>
        <w:rPr>
          <w:rFonts w:hint="eastAsia"/>
          <w:color w:val="333333"/>
        </w:rPr>
        <w:t>逼科研</w:t>
      </w:r>
      <w:proofErr w:type="gramEnd"/>
      <w:r>
        <w:rPr>
          <w:rFonts w:hint="eastAsia"/>
          <w:color w:val="333333"/>
        </w:rPr>
        <w:t>人员把预算往细里“编”等。</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针对上述问题，《意见》在原有基础上，进一步简化预算编制。将直接费用中会议费、差旅费、国际合作与交流费合并为一个科目，由科研人员根据科研活动实际需要编制预算、统筹安排使用。同时，参考“十二五”国家科技计划上述三项费用开支情况，规定了该科目如不超过直接费用的10%，就无需提供预算测算依据，科研人员在编制这部分预算时不用再具体说明开几次会、出几次差等。</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八、劳务费预算如何编制？开支范围是什么？</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目前，在制度层面，劳务费没有比例限制。但科研人员反映在项目实际申报过程中，劳务费仍存在“隐性”的比例限制。对此，我们已会同有关部门，加大宣传培训力度，并要求相关评审机构进一步规范评审工作。</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工资水平以及在项目研究中承担的工作任务确定（比如，北京地区可达12万元/年），项目聘用人员的社会保险补助纳入劳务费科目列支。三是要求项目主管部门尽快出台实施细则，为预算编制、评审、财务验收等提供操作规范，让科研人员在编制预算时“心中有数”，也防止评审、验收环节设定劳务费比例，确保政策在执行中 “不走样”、“不变形”。</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九、项目预算是否可以调剂？是否需要报批？按什么程序报批？</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在项目总预算不变的情况下，直接费用中的材料费、测试化验加工费、燃料动力费、出版/文献/信息传播/知识产权事务费、其他支出的预算，可由项目承担单位自行调剂；会议费/差旅费/国际合作与交流费、劳务费、专家咨询费和设备费支出预算可以调减，不得调增。</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项目预算总额变化、项目承担单位变更等应当按规定程序</w:t>
      </w:r>
      <w:proofErr w:type="gramStart"/>
      <w:r>
        <w:rPr>
          <w:rFonts w:hint="eastAsia"/>
          <w:color w:val="333333"/>
        </w:rPr>
        <w:t>报项目</w:t>
      </w:r>
      <w:proofErr w:type="gramEnd"/>
      <w:r>
        <w:rPr>
          <w:rFonts w:hint="eastAsia"/>
          <w:color w:val="333333"/>
        </w:rPr>
        <w:t>主管部门（单位）审批。</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十、科研人员反映科研课题项目资金拨付存在时间滞后问题，《意见》在这方面提出了哪些措施？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从申请项目到经费下达涉及多个环节。包括项目立项申请和评审、项目预算评审、批复项目及预算、部门申请和国库拨付经费等，项目前期立项评审等工作进度直接影响资金拨付时间。</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针对项目立项滞后影响资金拨付时间这一问题，科技部等相关部门结合科研工作的特点，已调整了工作机制，提前一年组织项目申报和评审，年初即可确定项目预算，为预算按时拨付奠定基础。</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自2009年起，经全国人大常委会同意，在人大正式批复预算前可以预拨一部分项目资金，并据此建立了科研项目经费年初预拨机制，规定第一季度可按“二上”预算数的1/4拨付资金。《意见》根据科研活动规律和特点，继续实行部门预算批复</w:t>
      </w:r>
      <w:proofErr w:type="gramStart"/>
      <w:r>
        <w:rPr>
          <w:rFonts w:hint="eastAsia"/>
          <w:color w:val="333333"/>
        </w:rPr>
        <w:t>前项目</w:t>
      </w:r>
      <w:proofErr w:type="gramEnd"/>
      <w:r>
        <w:rPr>
          <w:rFonts w:hint="eastAsia"/>
          <w:color w:val="333333"/>
        </w:rPr>
        <w:t>资金预拨制度，保证科研人员及时使用项目资金。</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lastRenderedPageBreak/>
        <w:t>十一、科研项目结转结余如何使用？</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改进了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十二、各单位横向经费如何管理？</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项目承担单位以市场委托方式取得的横向经费，按照委托方要求或合同约定管理使用，纳入单位财务统一管理。横向经费管理，既要防止“纵向化”，避免“纵横不分”；又要防止“账外账”，确保规范、安全、有效。</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十三、为适应教学科研活动规律，《意见》在完善差旅会议管理方面提出了哪些改进措施？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相关制度规定，中央级</w:t>
      </w:r>
      <w:proofErr w:type="gramStart"/>
      <w:r>
        <w:rPr>
          <w:rFonts w:hint="eastAsia"/>
          <w:color w:val="333333"/>
        </w:rPr>
        <w:t>非参公管理</w:t>
      </w:r>
      <w:proofErr w:type="gramEnd"/>
      <w:r>
        <w:rPr>
          <w:rFonts w:hint="eastAsia"/>
          <w:color w:val="333333"/>
        </w:rPr>
        <w:t>事业单位参照中央和国家机关差旅费管理办法执行，中央事业单位参照会议费管理办法执行，同时要求相关单位结合本单位实际情况制定具体操作规定。但实际操作中，一些单位存在没有制定具体操作规定，变“参照”为“依照”的问题</w:t>
      </w:r>
      <w:proofErr w:type="gramStart"/>
      <w:r>
        <w:rPr>
          <w:rFonts w:hint="eastAsia"/>
          <w:color w:val="333333"/>
        </w:rPr>
        <w:t>”</w:t>
      </w:r>
      <w:proofErr w:type="gramEnd"/>
      <w:r>
        <w:rPr>
          <w:rFonts w:hint="eastAsia"/>
          <w:color w:val="333333"/>
        </w:rPr>
        <w:t>。</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针对上述情况，《意见》遵循教学科研活动规律，完善中央高校、科研院所差旅会议管理。中央高校、科研院所根据教学、科研和管理工作实际需要，按照实事求是、精简高效、厉行节约的原则，自行制定具体管理规定。一是差旅费方面, 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十四、会议地点可以由单位自主确定吗？</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按照中共中央、国务院印发的《党政机关厉行节约反对浪费条例》等规定，会议召开场所实行政府采购定点管理。未纳入定点范围，价格低于会议综合定额</w:t>
      </w:r>
      <w:r>
        <w:rPr>
          <w:rFonts w:hint="eastAsia"/>
          <w:color w:val="333333"/>
        </w:rPr>
        <w:lastRenderedPageBreak/>
        <w:t>标准的单位内部会议室、礼堂、宾馆、招待所、培训中心，可优先作为本单位或本系统会议场所。</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十五、科研项目经费是否使用公务卡结算？</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推行科研项目经费使用公务卡结算，是规范科研活动支付业务、减少现金结算、强化资金安全、增强透明度、提高资金使用效益的重要举措。科研项目经费应按照《财政部科技部关于中央财政科研项目使用公务卡结算的通知》（财库〔2015〕245号）规定执行。</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十六、是否仍按现行采购方式购买机票？</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《意见》出台后，仍要根据《财政部 外交部关于印发〈因公临时出国经费管理办法〉的通知》（</w:t>
      </w:r>
      <w:proofErr w:type="gramStart"/>
      <w:r>
        <w:rPr>
          <w:rFonts w:hint="eastAsia"/>
          <w:color w:val="333333"/>
        </w:rPr>
        <w:t>财行〔2013〕</w:t>
      </w:r>
      <w:proofErr w:type="gramEnd"/>
      <w:r>
        <w:rPr>
          <w:rFonts w:hint="eastAsia"/>
          <w:color w:val="333333"/>
        </w:rPr>
        <w:t>516号）、《财政部 中国民用航空局关于加强公务机票购买管理有关事项的通知》（财库〔2014〕33号）、《财政部 中国民用航空局关于加强公务机票购买管理有关事项的补充通知》（财库〔2014〕180号）及政府采购相关制度规定，国内出差、因公临时出国购买机票时，应按上述规定执行。</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十七、如何改进政府采购管理？</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十八、《意见》出台了一系列简政放权的措施，为确保项目承担单位“接得住，管得好”，《意见》提出了</w:t>
      </w:r>
      <w:proofErr w:type="gramStart"/>
      <w:r>
        <w:rPr>
          <w:rFonts w:hint="eastAsia"/>
          <w:b/>
          <w:bCs/>
          <w:color w:val="333333"/>
        </w:rPr>
        <w:t>哪些加强</w:t>
      </w:r>
      <w:proofErr w:type="gramEnd"/>
      <w:r>
        <w:rPr>
          <w:rFonts w:hint="eastAsia"/>
          <w:b/>
          <w:bCs/>
          <w:color w:val="333333"/>
        </w:rPr>
        <w:t>科研项目资金监督管理的措施？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w:t>
      </w:r>
      <w:proofErr w:type="gramStart"/>
      <w:r>
        <w:rPr>
          <w:rFonts w:hint="eastAsia"/>
          <w:color w:val="333333"/>
        </w:rPr>
        <w:t>外拨资金</w:t>
      </w:r>
      <w:proofErr w:type="gramEnd"/>
      <w:r>
        <w:rPr>
          <w:rFonts w:hint="eastAsia"/>
          <w:color w:val="333333"/>
        </w:rPr>
        <w:t>、结余资金使用）、研究成果等情</w:t>
      </w:r>
      <w:r>
        <w:rPr>
          <w:rFonts w:hint="eastAsia"/>
          <w:color w:val="333333"/>
        </w:rPr>
        <w:lastRenderedPageBreak/>
        <w:t>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十九、针对当前单位和科研人员反映的检查评审过多问题，《意见》有哪些改进措施？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当前，各部门按照自身管理职责，分别组织科研项目和资金的监督检查，对规范科研经费使用起到了积极作用，但也出现了检查过多过频、检查结果共享不够等现象，不利于科研工作的高效有序推进。</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二十、针对科研人员反映的报销手续繁、程序多、时间长、难度大等问题，《意见》提出了</w:t>
      </w:r>
      <w:proofErr w:type="gramStart"/>
      <w:r>
        <w:rPr>
          <w:rFonts w:hint="eastAsia"/>
          <w:b/>
          <w:bCs/>
          <w:color w:val="333333"/>
        </w:rPr>
        <w:t>哪些解决</w:t>
      </w:r>
      <w:proofErr w:type="gramEnd"/>
      <w:r>
        <w:rPr>
          <w:rFonts w:hint="eastAsia"/>
          <w:b/>
          <w:bCs/>
          <w:color w:val="333333"/>
        </w:rPr>
        <w:t>措施？</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此，《意见》提出：一是项目承担单位要建立健全科研财务助理制度，“让专业的人做专业的事”，把科研人员从繁琐的事务中解放出来，着力破解一些科研人员反映的“把科研人员逼成会计”的问题。二是项目承担单位要充分运用信息化手段，提高科研管理效率和便利化程度。三是项目承担单位要制定符合科研实际需要的内部报销规定，切实解决野外考察、心理测试等科研活动中无法取得</w:t>
      </w:r>
      <w:r>
        <w:rPr>
          <w:rFonts w:hint="eastAsia"/>
          <w:color w:val="333333"/>
        </w:rPr>
        <w:lastRenderedPageBreak/>
        <w:t>发票或财政性票据，以及邀请外国专家来华参加学术交流发生费用等的报销问题，更好地服务于科研人员。</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二十一、为什么设立科研财务助理？所需经费如何解决？</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解决科研人员反映的科研经费报销手续繁杂、程序较多、时间过长、“把科研人员逼成会计”等问题，《意见》要求项目承担单位建立健全科研财务助理制度，为科研人员在项目预算编制和调剂、经费支出、财务决算和验收等方面提供专业化服务，“让专业的人做专业的事”，把科研人员从繁琐的事务中解放出来。聘请科研财务助理所需费用可由单位根据情况通过科研项目资金等渠道解决。</w:t>
      </w:r>
      <w:r w:rsidRPr="00A77549">
        <w:rPr>
          <w:rFonts w:hint="eastAsia"/>
          <w:color w:val="333333"/>
          <w:highlight w:val="yellow"/>
        </w:rPr>
        <w:t>对于项目层面聘用的财务助理，所需费用可通过劳务费安排解决；对于单位统一聘用的财务助理，所需费用可通过科研项目间接费用、单位日常运转经费等渠道安排解决。</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二十二、在</w:t>
      </w:r>
      <w:proofErr w:type="gramStart"/>
      <w:r>
        <w:rPr>
          <w:rFonts w:hint="eastAsia"/>
          <w:b/>
          <w:bCs/>
          <w:color w:val="333333"/>
        </w:rPr>
        <w:t>研</w:t>
      </w:r>
      <w:proofErr w:type="gramEnd"/>
      <w:r>
        <w:rPr>
          <w:rFonts w:hint="eastAsia"/>
          <w:b/>
          <w:bCs/>
          <w:color w:val="333333"/>
        </w:rPr>
        <w:t>项目能否执行新的规定？</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为做好政策衔接，对于国家科技计划（专项、基金等）在</w:t>
      </w:r>
      <w:proofErr w:type="gramStart"/>
      <w:r>
        <w:rPr>
          <w:rFonts w:hint="eastAsia"/>
          <w:color w:val="333333"/>
        </w:rPr>
        <w:t>研</w:t>
      </w:r>
      <w:proofErr w:type="gramEnd"/>
      <w:r>
        <w:rPr>
          <w:rFonts w:hint="eastAsia"/>
          <w:color w:val="333333"/>
        </w:rPr>
        <w:t>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在项目预算总额不变的前提下，自主选择在</w:t>
      </w:r>
      <w:proofErr w:type="gramStart"/>
      <w:r>
        <w:rPr>
          <w:rFonts w:hint="eastAsia"/>
          <w:color w:val="333333"/>
        </w:rPr>
        <w:t>研</w:t>
      </w:r>
      <w:proofErr w:type="gramEnd"/>
      <w:r>
        <w:rPr>
          <w:rFonts w:hint="eastAsia"/>
          <w:color w:val="333333"/>
        </w:rPr>
        <w:t>项目间接费用和绩效支出安排、预算科目调剂等是否执行有关新规定。如执行新规定，需履行单位内部有关调整审批程序，并符合预算调剂的有关</w:t>
      </w:r>
      <w:r w:rsidR="008F5BA6">
        <w:rPr>
          <w:rFonts w:hint="eastAsia"/>
          <w:color w:val="333333"/>
        </w:rPr>
        <w:t>v</w:t>
      </w:r>
      <w:r>
        <w:rPr>
          <w:rFonts w:hint="eastAsia"/>
          <w:color w:val="333333"/>
        </w:rPr>
        <w:t>规定。特别是对于原未设立间接费用的在</w:t>
      </w:r>
      <w:proofErr w:type="gramStart"/>
      <w:r>
        <w:rPr>
          <w:rFonts w:hint="eastAsia"/>
          <w:color w:val="333333"/>
        </w:rPr>
        <w:t>研</w:t>
      </w:r>
      <w:proofErr w:type="gramEnd"/>
      <w:r>
        <w:rPr>
          <w:rFonts w:hint="eastAsia"/>
          <w:color w:val="333333"/>
        </w:rPr>
        <w:t>项目,如要新增间接费用,承担单位要在逐一征求项目负责人意见的基础上,按照有关管理规定将项目资金分解为直接费用和间接费用。</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二十三、为做好《意见》的落实，相关部门还将出台哪些相关的管理办法？</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为确保政策措施落地见效，相关部门将出台三个方面的管理办法。</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一是财政部正在会同相关部门抓紧制（修）订中央财政科技计划（专项、基金等）资金相关管理办法，将于2016年年底前出台。</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二是项目主管部门将于2016年年底前出台实施细则，为预算编制、评审、财务验收等提供操作规范，防止政策在执行中走样变形。</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lastRenderedPageBreak/>
        <w:t>三是为发挥政策协同效应，财政部、中央级社科类科研项目主管部门将加快修订国家社科基金项目资金、高等学校哲学社会科学繁荣计划等中央级社科类科研项目资金管理办法，做到2016年新立项项目按新规定执行。</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二十四、高校、科研院所需要制定哪些相关的管理办法？</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中央高校、科研院所要在9月1日前，出台差旅费、会议</w:t>
      </w:r>
      <w:proofErr w:type="gramStart"/>
      <w:r>
        <w:rPr>
          <w:rFonts w:hint="eastAsia"/>
          <w:color w:val="333333"/>
        </w:rPr>
        <w:t>费内部</w:t>
      </w:r>
      <w:proofErr w:type="gramEnd"/>
      <w:r>
        <w:rPr>
          <w:rFonts w:hint="eastAsia"/>
          <w:color w:val="333333"/>
        </w:rPr>
        <w:t>管理办法，其主管部门要加强工作指导和统筹。</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项目承担单位要在2016年年底前完成以下相关制度规定的制（修）订工作，其中重点包括：</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一是制（修）</w:t>
      </w:r>
      <w:proofErr w:type="gramStart"/>
      <w:r>
        <w:rPr>
          <w:rFonts w:hint="eastAsia"/>
          <w:color w:val="333333"/>
        </w:rPr>
        <w:t>订科研</w:t>
      </w:r>
      <w:proofErr w:type="gramEnd"/>
      <w:r>
        <w:rPr>
          <w:rFonts w:hint="eastAsia"/>
          <w:color w:val="333333"/>
        </w:rPr>
        <w:t>项目资金内部管理办法，对科研项目预算调剂、科研项目间接费用管理、科研项目劳务费使用和发放、科研项目结余资金管理等做出细化规定，其中要专门就项目预算、预算调剂、资金使用（重点是间接费用、</w:t>
      </w:r>
      <w:proofErr w:type="gramStart"/>
      <w:r>
        <w:rPr>
          <w:rFonts w:hint="eastAsia"/>
          <w:color w:val="333333"/>
        </w:rPr>
        <w:t>外拨资金</w:t>
      </w:r>
      <w:proofErr w:type="gramEnd"/>
      <w:r>
        <w:rPr>
          <w:rFonts w:hint="eastAsia"/>
          <w:color w:val="333333"/>
        </w:rPr>
        <w:t>、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rsidR="000034E6" w:rsidRDefault="000034E6" w:rsidP="000034E6">
      <w:pPr>
        <w:pStyle w:val="a5"/>
        <w:shd w:val="clear" w:color="auto" w:fill="FFFFFF"/>
        <w:spacing w:before="0" w:beforeAutospacing="0" w:after="0" w:afterAutospacing="0" w:line="450" w:lineRule="atLeast"/>
        <w:ind w:firstLine="480"/>
        <w:rPr>
          <w:color w:val="333333"/>
        </w:rPr>
      </w:pPr>
      <w:r>
        <w:rPr>
          <w:rFonts w:hint="eastAsia"/>
          <w:b/>
          <w:bCs/>
          <w:color w:val="333333"/>
        </w:rPr>
        <w:t>二十五、地方如何推进科研项目资金管理改革等工作？</w:t>
      </w:r>
    </w:p>
    <w:p w:rsidR="000034E6" w:rsidRDefault="000034E6" w:rsidP="000034E6">
      <w:pPr>
        <w:pStyle w:val="a5"/>
        <w:shd w:val="clear" w:color="auto" w:fill="FFFFFF"/>
        <w:spacing w:before="225" w:beforeAutospacing="0" w:after="0" w:afterAutospacing="0" w:line="450" w:lineRule="atLeast"/>
        <w:ind w:firstLine="480"/>
        <w:rPr>
          <w:color w:val="333333"/>
        </w:rPr>
      </w:pPr>
      <w:r>
        <w:rPr>
          <w:rFonts w:hint="eastAsia"/>
          <w:color w:val="333333"/>
        </w:rPr>
        <w:t>各地区要参照《意见》精神，结合实际，加快推进科研项目资金管理改革等各项工作，同时在改革的具体工作中，要注意协同推进科技计划（专项、基金等）与科研项目资金管理改革，形成上下联动、全国一盘棋的工作局面。</w:t>
      </w:r>
    </w:p>
    <w:p w:rsidR="000034E6" w:rsidRPr="000034E6" w:rsidRDefault="000034E6" w:rsidP="000034E6">
      <w:pPr>
        <w:jc w:val="left"/>
        <w:rPr>
          <w:rFonts w:asciiTheme="minorEastAsia" w:hAnsiTheme="minorEastAsia"/>
          <w:sz w:val="28"/>
        </w:rPr>
      </w:pPr>
    </w:p>
    <w:sectPr w:rsidR="000034E6" w:rsidRPr="000034E6" w:rsidSect="00DC5F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EE" w:rsidRDefault="006D53EE" w:rsidP="000034E6">
      <w:r>
        <w:separator/>
      </w:r>
    </w:p>
  </w:endnote>
  <w:endnote w:type="continuationSeparator" w:id="0">
    <w:p w:rsidR="006D53EE" w:rsidRDefault="006D53EE" w:rsidP="00003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EE" w:rsidRDefault="006D53EE" w:rsidP="000034E6">
      <w:r>
        <w:separator/>
      </w:r>
    </w:p>
  </w:footnote>
  <w:footnote w:type="continuationSeparator" w:id="0">
    <w:p w:rsidR="006D53EE" w:rsidRDefault="006D53EE" w:rsidP="00003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4E6"/>
    <w:rsid w:val="000034E6"/>
    <w:rsid w:val="002F6C94"/>
    <w:rsid w:val="006D53EE"/>
    <w:rsid w:val="008F5BA6"/>
    <w:rsid w:val="00A77549"/>
    <w:rsid w:val="00DC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3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34E6"/>
    <w:rPr>
      <w:sz w:val="18"/>
      <w:szCs w:val="18"/>
    </w:rPr>
  </w:style>
  <w:style w:type="paragraph" w:styleId="a4">
    <w:name w:val="footer"/>
    <w:basedOn w:val="a"/>
    <w:link w:val="Char0"/>
    <w:uiPriority w:val="99"/>
    <w:semiHidden/>
    <w:unhideWhenUsed/>
    <w:rsid w:val="00003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34E6"/>
    <w:rPr>
      <w:sz w:val="18"/>
      <w:szCs w:val="18"/>
    </w:rPr>
  </w:style>
  <w:style w:type="paragraph" w:styleId="a5">
    <w:name w:val="Normal (Web)"/>
    <w:basedOn w:val="a"/>
    <w:uiPriority w:val="99"/>
    <w:semiHidden/>
    <w:unhideWhenUsed/>
    <w:rsid w:val="000034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5179750">
      <w:bodyDiv w:val="1"/>
      <w:marLeft w:val="0"/>
      <w:marRight w:val="0"/>
      <w:marTop w:val="0"/>
      <w:marBottom w:val="0"/>
      <w:divBdr>
        <w:top w:val="none" w:sz="0" w:space="0" w:color="auto"/>
        <w:left w:val="none" w:sz="0" w:space="0" w:color="auto"/>
        <w:bottom w:val="none" w:sz="0" w:space="0" w:color="auto"/>
        <w:right w:val="none" w:sz="0" w:space="0" w:color="auto"/>
      </w:divBdr>
    </w:div>
    <w:div w:id="12562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GIGI'S</cp:lastModifiedBy>
  <cp:revision>4</cp:revision>
  <dcterms:created xsi:type="dcterms:W3CDTF">2016-08-26T10:41:00Z</dcterms:created>
  <dcterms:modified xsi:type="dcterms:W3CDTF">2016-08-31T09:39:00Z</dcterms:modified>
</cp:coreProperties>
</file>