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sz w:val="36"/>
          <w:szCs w:val="36"/>
        </w:rPr>
      </w:pPr>
      <w:bookmarkStart w:id="0" w:name="_GoBack"/>
      <w:bookmarkEnd w:id="0"/>
      <w:r>
        <w:rPr>
          <w:rFonts w:hint="eastAsia" w:ascii="黑体" w:hAnsi="黑体" w:eastAsia="黑体"/>
          <w:sz w:val="36"/>
          <w:szCs w:val="36"/>
        </w:rPr>
        <w:t>财政部、科技部、教育部、发展改革委四部门负责人就《意见》答记者问</w:t>
      </w:r>
    </w:p>
    <w:p>
      <w:pPr>
        <w:ind w:firstLine="0" w:firstLineChars="0"/>
        <w:jc w:val="center"/>
        <w:rPr>
          <w:rFonts w:hint="eastAsia" w:ascii="黑体" w:hAnsi="黑体" w:eastAsia="黑体"/>
          <w:sz w:val="36"/>
          <w:szCs w:val="36"/>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日前，中共中央办公厅、国务院办公厅联合印发了《关于进一步完善中央财政科研项目资金管理等政策的若干意见》（以下简称《意见》）。为了便于更好地理解《意见》精神，财政部、科技部、教育部、发展改革委四部门负责人接受采访，并回答了记者提问。</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2" w:firstLineChars="200"/>
        <w:rPr>
          <w:rFonts w:ascii="Helvetica" w:hAnsi="Helvetica" w:cs="Helvetica"/>
          <w:color w:val="3E3E3E"/>
          <w:sz w:val="28"/>
          <w:szCs w:val="28"/>
        </w:rPr>
      </w:pPr>
      <w:r>
        <w:rPr>
          <w:rStyle w:val="6"/>
          <w:rFonts w:ascii="Helvetica" w:hAnsi="Helvetica" w:cs="Helvetica"/>
          <w:color w:val="3E3E3E"/>
          <w:sz w:val="28"/>
          <w:szCs w:val="28"/>
        </w:rPr>
        <w:t>问：制定《意见》的总体考虑是什么？</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答：创新是引领发展的第一动力，科技创新在全面创新中具有引领作用。党中央、国务院高度重视激发科技创新活力。《意见》的出台是落实全国科技创新大会精神的重要举措，是完善符合科技创新规律资源配置方式的迫切需要，是加快实施创新驱动发展战略的内在要求，是建设世界科技强国的有力保障。</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意见》聚焦高校、科研院所和科研人员关心的突出问题，遵循“四个坚持”的原则，着力激发创新创造活力。一是坚持以人为本。以调动科研人员积极性和创造性为出发点和落脚点，强化激励机制，加大激励力度，激发创新创造活力。二是坚持遵循规律。按照科研活动规律和财政预算管理要求，完善管理政策，优化管理流程，改进管理方式，适应科研活动实际需要。三是坚持“放管服”结合。进一步简政放权，扩大高校、科研院所科研项目资金、差旅会议、基本建设、科研仪器设备采购等方面的管理权限，同时强调放管结合、优化服务，加强事中事后监管，寓管理于服务之中，为科研人员潜心研究营造良好环境。四是坚持政策落实落地。细化实化政策规定，加强政策落实督查，打通政策执行中的“堵点”，增强科研人员改革的成就感和获得感。</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2" w:firstLineChars="200"/>
        <w:rPr>
          <w:rFonts w:ascii="Helvetica" w:hAnsi="Helvetica" w:cs="Helvetica"/>
          <w:color w:val="3E3E3E"/>
          <w:sz w:val="28"/>
          <w:szCs w:val="28"/>
        </w:rPr>
      </w:pPr>
      <w:r>
        <w:rPr>
          <w:rStyle w:val="6"/>
          <w:rFonts w:ascii="Helvetica" w:hAnsi="Helvetica" w:cs="Helvetica"/>
          <w:color w:val="3E3E3E"/>
          <w:sz w:val="28"/>
          <w:szCs w:val="28"/>
        </w:rPr>
        <w:t>问：《意见》在改进中央财政科研项目资金管理方面提出了哪些措施？</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答：《意见》坚持以人为本、遵循规律，在改进中央财政科研项目资金管理方面，提出了一系列给科研人员“松绑+激励”的政策措施。</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一是简化预算编制科目，下放调剂权限。合并会议费、差旅费、国际合作与交流费科目，这三项费用合计如不超过直接费用的10％，无需提供预算测算依据，科研人员在编制这部分预算时不用再具体说明开几次会、出几次差了。下放预算调剂权限，将直接费用中的材料费、测试化验加工费、燃料动力费等多数科目的预算调剂权下放给项目承担单位。</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二是提高间接费用比重，加大绩效激励力度。中央财政科技计划（专项、基金等）中实行公开竞争方式的研发类项目，均要设立间接费用，主要用于项目承担单位的成本耗费和对科研人员的绩效激励。进一步提高间接费用比重，核定比例可以按规定提高到不超过直接费用扣除设备购置费的20％、15％、13％。加大对科研人员激励力度，项目承担单位可以在核定的间接费用比例范围内科学合理地安排绩效支出，并与科研人员在项目工作中的实际贡献挂钩。</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三是明确劳务费开支范围和标准。重申劳务费不设比例限制。明确参与项目研究的研究生、博士后、访问学者以及项目聘用的研究人员、科研辅助人员等，均可开支劳务费。明确项目聘用人员的劳务费开支标准，参照当地科学研究和技术服务业从业人员平均工资水平，根据其在项目研究中承担的工作任务确定。</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四是改进结转结余资金留用处理方式。科研项目实施期间，年度剩余资金可以结转下年继续使用。项目完成任务目标并通过验收后，结余资金按规定留归项目承担单位使用，在2年内可统筹安排用于科研活动的直接支出；2年后未使用完的，按规定收回。</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五是自主规范管理横向经费。项目承担单位以市场委托方式取得的横向经费，由单位按照委托方要求或合同约定管理使用，有效解决一些科研人员反映的横向经费“纵向化”管理问题。为防止单位设“账外账”，要求将横向经费纳入单位财务统一管理。</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2" w:firstLineChars="200"/>
        <w:rPr>
          <w:rFonts w:ascii="Helvetica" w:hAnsi="Helvetica" w:cs="Helvetica"/>
          <w:color w:val="3E3E3E"/>
          <w:sz w:val="28"/>
          <w:szCs w:val="28"/>
        </w:rPr>
      </w:pPr>
      <w:r>
        <w:rPr>
          <w:rStyle w:val="6"/>
          <w:rFonts w:ascii="Helvetica" w:hAnsi="Helvetica" w:cs="Helvetica"/>
          <w:color w:val="3E3E3E"/>
          <w:sz w:val="28"/>
          <w:szCs w:val="28"/>
        </w:rPr>
        <w:t>问：《意见》在扩大高校和科研院所管理权限方面有哪些“亮点”？</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答：《意见》坚持简政放权，在四大方面扩大了高校和科研院所管理权限：</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一是扩大中央财政科研项目资金管理权限。主要包括：项目预算调剂自主权，劳务费分配管理自主权，间接费使用管理自主权，结转结余资金按规定使用自主权等。</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二是下放差旅会议管理权限，不简单套用行政预算和财务管理方法。中央高校、科研院所可根据教学、科研和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中央高校、科研院所因教学、科研需要举办的业务性会议，如学术会议、研讨会、评审会、座谈会、答辩会等，其次数、天数、人数以及会议费开支范围、标准等，由单位按照实事求是、精简高效、厉行节约的原则确定。因工作需要，邀请国内外专家、学者和有关人员参加会议，对确需负担的城市间交通费、国际旅费，可由主办单位在会议费等费用中报销等。</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三是完善中央高校、科研院所科研仪器设备采购管理。中央高校和科研院所可自行采购科研仪器设备、自行选择科研仪器设备评审专家，同时要切实做好设备采购的监督管理。财政部要简化政府采购项目预算调剂和变更政府采购方式审批流程。对中央高校、科研院所采购进口仪器设备实行备案制管理。继续落实进口科研教学用品免税政策。</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四是完善中央高校、科研院所基本建设项目管理。扩大了中央高校、科研院所基建项目管理权限，对利用自有资金、不申请政府投资建设的项目，由单位自主决策，变主管部门审批为备案。同时要求发展改革委和中央高校、科研院所主管部门要加强指导和监督检查。简化审批程序，对列入中央高校、科研院所五年建设规划的项目，主管部门不再审批项目建议书。简化项目城乡规划、用地及环评、能评等审批手续。</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2" w:firstLineChars="200"/>
        <w:rPr>
          <w:rFonts w:ascii="Helvetica" w:hAnsi="Helvetica" w:cs="Helvetica"/>
          <w:color w:val="3E3E3E"/>
          <w:sz w:val="28"/>
          <w:szCs w:val="28"/>
        </w:rPr>
      </w:pPr>
      <w:r>
        <w:rPr>
          <w:rStyle w:val="6"/>
          <w:rFonts w:ascii="Helvetica" w:hAnsi="Helvetica" w:cs="Helvetica"/>
          <w:color w:val="3E3E3E"/>
          <w:sz w:val="28"/>
          <w:szCs w:val="28"/>
        </w:rPr>
        <w:t>问：《意见》出台了一系列简政放权的措施，怎样才能确保项目承担单位“接得住，管得好”？优化服务的措施有哪些？</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答：《意见》坚持问题导向，从“放、管、服、落”四个方面提出了务实管用、细化落地的政策措施。在“放”的方面，遵循科研活动规律和特点，改进中央财政科研项目资金管理，扩大中央高校、科研院所在差旅会议、基本建设、科研仪器设备采购等方面的管理权限，调动科研人员的积极性和创造性。在“管”的方面，强化项目承担单位法人责任，规范资金管理，防止资金“跑冒滴漏”，确保项目承担单位“接得住，管得好”。在“服”的方面，精简检查评审、创新服务方式，为科研人员潜心从事科学研究营造良好环境。在“落”的方面，加强制度建设和工作督察，确保政策措施落地见效。</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科研项目资金管理等简政放权后，如何防止资金“跑冒滴漏”，如何确保项目承担单位“接得住，管得好”，避免政策落实中的“中梗阻”和“最后一公里”问题，是急需解决的重要问题。为此，《意见》强调项目承担单位要依法理财、规范管理。一是强化单位法人责任。单位要认真落实国家有关政策规定，按照权责一致的要求，强化自我约束和自我规范，制定内部管理办法，落实项目预算调剂、间接费用统筹使用、劳务费分配管理、结余资金使用等管理权限。二是规范资金管理，单位要加强预算审核把关，规范财务支出行为，完善内部风险防控机制，强化资金使用绩效评价；要实行内部公开制度，主动公开项目预算、预算调剂、资金使用（重点是间接费用、外拨资金、结余资金使用）、研究成果等情况，确保资金、人员“两安全”。</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意见》要求，有关部门和单位要改进服务，为科研人员简除烦苛、松绑减负，着力让经费为人的创造性活动服务。一是在检查评审上“做减法”，减轻单位和科研人员负担。建立职责明确、分工负责的协同工作机制，改进检查方式，避免重复检查、多头检查、过度检查，减少监管中的制度性交易成本。二是在服务方式上“做加法”，为科研人员潜心从事科研营造良好环境。项目承担单位要建立健全科研财务助理制度，“让专业的人做专业的事”，科研财务助理所需费用可由单位根据情况通过科研项目资金等渠道解决；充分运用信息化手段，更加快捷方便地为科研人员做好服务；制定符合科研实际需要的内部报销规定，着力破解一些单位和科研人员反映的无法取得发票或财政性票据，以及邀请外国专家来华参加学术交流发生费用等的报销问题。</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2" w:firstLineChars="200"/>
        <w:rPr>
          <w:rFonts w:ascii="Helvetica" w:hAnsi="Helvetica" w:cs="Helvetica"/>
          <w:color w:val="3E3E3E"/>
          <w:sz w:val="28"/>
          <w:szCs w:val="28"/>
        </w:rPr>
      </w:pPr>
      <w:r>
        <w:rPr>
          <w:rStyle w:val="6"/>
          <w:rFonts w:ascii="Helvetica" w:hAnsi="Helvetica" w:cs="Helvetica"/>
          <w:color w:val="3E3E3E"/>
          <w:sz w:val="28"/>
          <w:szCs w:val="28"/>
        </w:rPr>
        <w:t>问：为确保政策落地见效，《意见》提出了哪些保障措施？</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答：《意见》强调要加强制度建设和工作督查，确保政策落地见效。</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一是增强政策措施的可操作性。项目主管部门要在2016年年底前出台实施细则，为预算编制、评审、财务验收等提供操作规范，防止政策在执行中走样变形。中央高校、科研院所要在2016年9月1日前制定出台差旅费、会议费内部管理办法，其主管部门要做好工作指导和统筹；项目承担单位要在2016年年底前制定或修订科研项目资金内部管理办法和报销规定，确保有关政策尽快落地生根。以后年度承担科研项目的单位要于当年制定出台相关管理办法和规定。</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二是强化工作督查指导，确保政策落地见效。财政部、科技部要适时组织开展对相关政策落实情况的督查，对督查结果进行通报并纳入信用管理，与间接费用核定、结余资金留用等挂钩。审计机关要依法开展对政策措施落实情况和财政资金的审计监督。项目主管部门要督促指导所属单位完善内部管理。</w:t>
      </w: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p>
    <w:p>
      <w:pPr>
        <w:pStyle w:val="4"/>
        <w:shd w:val="clear" w:color="auto" w:fill="FFFFFF"/>
        <w:spacing w:before="0" w:beforeAutospacing="0" w:after="0" w:afterAutospacing="0" w:line="300" w:lineRule="atLeast"/>
        <w:ind w:firstLine="480" w:firstLineChars="200"/>
        <w:rPr>
          <w:rFonts w:ascii="Helvetica" w:hAnsi="Helvetica" w:cs="Helvetica"/>
          <w:color w:val="3E3E3E"/>
          <w:sz w:val="28"/>
          <w:szCs w:val="28"/>
        </w:rPr>
      </w:pPr>
      <w:r>
        <w:rPr>
          <w:rFonts w:ascii="Helvetica" w:hAnsi="Helvetica" w:cs="Helvetica"/>
          <w:color w:val="3E3E3E"/>
          <w:sz w:val="28"/>
          <w:szCs w:val="28"/>
        </w:rPr>
        <w:t>此外，为发挥政策协同效应，《意见》还提出两方面要求：一是加快修订中央级社科类科研项目资金管理办法，同步增强社科领域科研人员的改革成就感和获得感。二是各地还要参照《意见》精神，结合实际，加快推进科研项目资金管理改革等各项工作，以形成上下联动、全国一盘棋的工作局面。</w:t>
      </w:r>
    </w:p>
    <w:p>
      <w:pPr>
        <w:ind w:firstLine="560"/>
        <w:jc w:val="left"/>
        <w:rPr>
          <w:rFonts w:asciiTheme="minorEastAsia"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B5C36"/>
    <w:rsid w:val="000117CC"/>
    <w:rsid w:val="00034C83"/>
    <w:rsid w:val="0005042E"/>
    <w:rsid w:val="000E5A22"/>
    <w:rsid w:val="000F69E6"/>
    <w:rsid w:val="00100493"/>
    <w:rsid w:val="00122B27"/>
    <w:rsid w:val="001B1F1E"/>
    <w:rsid w:val="001E2E7C"/>
    <w:rsid w:val="001E7B3B"/>
    <w:rsid w:val="0026031A"/>
    <w:rsid w:val="0029458B"/>
    <w:rsid w:val="002A3943"/>
    <w:rsid w:val="002B03D8"/>
    <w:rsid w:val="002D7DF8"/>
    <w:rsid w:val="002E4A5B"/>
    <w:rsid w:val="00325416"/>
    <w:rsid w:val="00345286"/>
    <w:rsid w:val="0035666F"/>
    <w:rsid w:val="00360814"/>
    <w:rsid w:val="003851D2"/>
    <w:rsid w:val="003A2F36"/>
    <w:rsid w:val="003B6BBB"/>
    <w:rsid w:val="00414C04"/>
    <w:rsid w:val="004325F5"/>
    <w:rsid w:val="00442164"/>
    <w:rsid w:val="00473F76"/>
    <w:rsid w:val="004A5069"/>
    <w:rsid w:val="004D3FD4"/>
    <w:rsid w:val="004E1CC3"/>
    <w:rsid w:val="00511DDF"/>
    <w:rsid w:val="005360A1"/>
    <w:rsid w:val="0055357F"/>
    <w:rsid w:val="005816F8"/>
    <w:rsid w:val="005B78A9"/>
    <w:rsid w:val="005E0535"/>
    <w:rsid w:val="00650B3E"/>
    <w:rsid w:val="006665D3"/>
    <w:rsid w:val="00722563"/>
    <w:rsid w:val="0072265B"/>
    <w:rsid w:val="00762D37"/>
    <w:rsid w:val="007B0890"/>
    <w:rsid w:val="0082713F"/>
    <w:rsid w:val="00851F88"/>
    <w:rsid w:val="00862321"/>
    <w:rsid w:val="00881E89"/>
    <w:rsid w:val="00897A32"/>
    <w:rsid w:val="008B093D"/>
    <w:rsid w:val="008B0C0D"/>
    <w:rsid w:val="008B5C36"/>
    <w:rsid w:val="008C0E68"/>
    <w:rsid w:val="008C3B84"/>
    <w:rsid w:val="0097079C"/>
    <w:rsid w:val="00983950"/>
    <w:rsid w:val="009A2DAB"/>
    <w:rsid w:val="00A63021"/>
    <w:rsid w:val="00A872E2"/>
    <w:rsid w:val="00A873D5"/>
    <w:rsid w:val="00AA6E89"/>
    <w:rsid w:val="00B52911"/>
    <w:rsid w:val="00B6076D"/>
    <w:rsid w:val="00B84A02"/>
    <w:rsid w:val="00BC49A7"/>
    <w:rsid w:val="00BD2634"/>
    <w:rsid w:val="00BD57F2"/>
    <w:rsid w:val="00BD632E"/>
    <w:rsid w:val="00C00E72"/>
    <w:rsid w:val="00C02CCB"/>
    <w:rsid w:val="00C13755"/>
    <w:rsid w:val="00C210C6"/>
    <w:rsid w:val="00C5060D"/>
    <w:rsid w:val="00C9003A"/>
    <w:rsid w:val="00CA35B7"/>
    <w:rsid w:val="00D25330"/>
    <w:rsid w:val="00D339E4"/>
    <w:rsid w:val="00D9557A"/>
    <w:rsid w:val="00DF12CE"/>
    <w:rsid w:val="00E01AD0"/>
    <w:rsid w:val="00E53921"/>
    <w:rsid w:val="00E73DBB"/>
    <w:rsid w:val="00EA7CBC"/>
    <w:rsid w:val="00EB5E43"/>
    <w:rsid w:val="00EB6ED5"/>
    <w:rsid w:val="00F426C8"/>
    <w:rsid w:val="00F8273B"/>
    <w:rsid w:val="00FD0F37"/>
    <w:rsid w:val="261562D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567</Words>
  <Characters>3234</Characters>
  <Lines>26</Lines>
  <Paragraphs>7</Paragraphs>
  <TotalTime>0</TotalTime>
  <ScaleCrop>false</ScaleCrop>
  <LinksUpToDate>false</LinksUpToDate>
  <CharactersWithSpaces>3794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2016-08-26T10:46:00Z</dcterms:created>
  <dc:creator>GiGi</dc:creator>
  <cp:lastModifiedBy>GIGI'S</cp:lastModifiedBy>
  <cp:lastPrinted>2016-11-25T02:25:27Z</cp:lastPrinted>
  <dcterms:modified xsi:type="dcterms:W3CDTF">2016-11-25T02:29:55Z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